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E5C3" w14:textId="1567C533" w:rsidR="00DC18DB" w:rsidRDefault="00DC18DB" w:rsidP="00FD53FC">
      <w:pPr>
        <w:pStyle w:val="Tekstpodstawowy"/>
        <w:rPr>
          <w:rFonts w:ascii="Times New Roman"/>
          <w:i w:val="0"/>
          <w:sz w:val="20"/>
        </w:rPr>
      </w:pPr>
    </w:p>
    <w:p w14:paraId="458B0EA1" w14:textId="570CAEE6" w:rsidR="00DC18DB" w:rsidRPr="00206D0F" w:rsidRDefault="00282C18" w:rsidP="00282C18">
      <w:pPr>
        <w:spacing w:before="194"/>
        <w:ind w:left="116"/>
        <w:jc w:val="both"/>
        <w:rPr>
          <w:rFonts w:ascii="Aptos" w:hAnsi="Aptos" w:cstheme="minorHAnsi"/>
          <w:bCs/>
          <w:i/>
          <w:iCs/>
          <w:sz w:val="20"/>
          <w:szCs w:val="20"/>
        </w:rPr>
      </w:pPr>
      <w:r>
        <w:rPr>
          <w:rFonts w:asciiTheme="minorHAnsi" w:hAnsiTheme="minorHAnsi"/>
          <w:i/>
        </w:rPr>
        <w:t xml:space="preserve">                     </w:t>
      </w:r>
      <w:r>
        <w:rPr>
          <w:rFonts w:ascii="Aptos" w:hAnsi="Aptos"/>
          <w:i/>
          <w:sz w:val="20"/>
        </w:rPr>
        <w:t>Annex No. 4 Declaration of no grounds for exclusion (counteracting aggression against Ukraine)</w:t>
      </w:r>
    </w:p>
    <w:p w14:paraId="02BD1773" w14:textId="77777777" w:rsidR="00DC18DB" w:rsidRPr="00206D0F" w:rsidRDefault="00DC18DB">
      <w:pPr>
        <w:spacing w:before="121"/>
        <w:rPr>
          <w:rFonts w:ascii="Aptos" w:hAnsi="Aptos" w:cstheme="minorHAnsi"/>
          <w:b/>
          <w:sz w:val="20"/>
          <w:szCs w:val="20"/>
        </w:rPr>
      </w:pPr>
    </w:p>
    <w:p w14:paraId="11578A3C" w14:textId="77777777" w:rsidR="00434352" w:rsidRDefault="00B20003" w:rsidP="00434352">
      <w:pPr>
        <w:spacing w:line="276" w:lineRule="auto"/>
        <w:ind w:left="3686" w:right="1523" w:hanging="385"/>
        <w:rPr>
          <w:rFonts w:ascii="Aptos" w:hAnsi="Aptos"/>
          <w:b/>
          <w:sz w:val="24"/>
        </w:rPr>
      </w:pPr>
      <w:r>
        <w:rPr>
          <w:rFonts w:ascii="Aptos" w:hAnsi="Aptos"/>
          <w:b/>
          <w:sz w:val="24"/>
        </w:rPr>
        <w:t xml:space="preserve">Declaration of no grounds for exclusion </w:t>
      </w:r>
    </w:p>
    <w:p w14:paraId="2B394BE7" w14:textId="665ED080" w:rsidR="00DC18DB" w:rsidRDefault="00B20003" w:rsidP="00434352">
      <w:pPr>
        <w:spacing w:line="276" w:lineRule="auto"/>
        <w:ind w:left="3119" w:right="1523" w:hanging="385"/>
        <w:rPr>
          <w:rFonts w:ascii="Aptos" w:hAnsi="Aptos" w:cstheme="minorHAnsi"/>
          <w:b/>
          <w:sz w:val="24"/>
          <w:szCs w:val="24"/>
        </w:rPr>
      </w:pPr>
      <w:r>
        <w:rPr>
          <w:rFonts w:ascii="Aptos" w:hAnsi="Aptos"/>
          <w:b/>
          <w:sz w:val="24"/>
        </w:rPr>
        <w:t>(counteracting aggression against Ukraine)</w:t>
      </w:r>
    </w:p>
    <w:p w14:paraId="5EF762CA" w14:textId="398140AF" w:rsidR="00580390" w:rsidRPr="00492D5C" w:rsidRDefault="00580390" w:rsidP="00580390">
      <w:pPr>
        <w:spacing w:line="276" w:lineRule="auto"/>
        <w:ind w:left="3294" w:right="1523" w:hanging="385"/>
        <w:jc w:val="center"/>
        <w:rPr>
          <w:rFonts w:ascii="Aptos" w:hAnsi="Aptos" w:cstheme="minorHAnsi"/>
          <w:b/>
          <w:sz w:val="24"/>
          <w:szCs w:val="24"/>
        </w:rPr>
      </w:pPr>
      <w:r>
        <w:rPr>
          <w:rFonts w:ascii="Aptos" w:hAnsi="Aptos"/>
          <w:b/>
          <w:sz w:val="24"/>
        </w:rPr>
        <w:t>Common to Parts 1 and 2</w:t>
      </w:r>
    </w:p>
    <w:p w14:paraId="5021AE71" w14:textId="77777777" w:rsidR="00DC18DB" w:rsidRPr="00492D5C" w:rsidRDefault="00DC18DB" w:rsidP="00492D5C">
      <w:pPr>
        <w:spacing w:line="276" w:lineRule="auto"/>
        <w:rPr>
          <w:rFonts w:ascii="Aptos" w:hAnsi="Aptos" w:cstheme="minorHAnsi"/>
          <w:b/>
          <w:sz w:val="24"/>
          <w:szCs w:val="24"/>
        </w:rPr>
      </w:pPr>
    </w:p>
    <w:p w14:paraId="47DD9351" w14:textId="4348CC13" w:rsidR="00DC18DB" w:rsidRPr="00492D5C" w:rsidRDefault="00B20003" w:rsidP="00492D5C">
      <w:pPr>
        <w:spacing w:line="276" w:lineRule="auto"/>
        <w:rPr>
          <w:rFonts w:ascii="Aptos" w:hAnsi="Aptos" w:cstheme="minorHAnsi"/>
          <w:b/>
          <w:sz w:val="24"/>
          <w:szCs w:val="24"/>
        </w:rPr>
      </w:pPr>
      <w:r>
        <w:rPr>
          <w:rFonts w:ascii="Aptos" w:hAnsi="Aptos"/>
          <w:b/>
          <w:sz w:val="24"/>
        </w:rPr>
        <w:t xml:space="preserve">Full name of </w:t>
      </w:r>
      <w:r w:rsidR="00517BFE">
        <w:rPr>
          <w:rFonts w:ascii="Aptos" w:hAnsi="Aptos"/>
          <w:b/>
          <w:sz w:val="24"/>
        </w:rPr>
        <w:t xml:space="preserve">the </w:t>
      </w:r>
      <w:r>
        <w:rPr>
          <w:rFonts w:ascii="Aptos" w:hAnsi="Aptos"/>
          <w:b/>
          <w:sz w:val="24"/>
        </w:rPr>
        <w:t>CONTRACTOR (</w:t>
      </w:r>
      <w:r w:rsidR="00517BFE">
        <w:rPr>
          <w:rFonts w:ascii="Aptos" w:hAnsi="Aptos"/>
          <w:b/>
          <w:sz w:val="24"/>
        </w:rPr>
        <w:t xml:space="preserve">the </w:t>
      </w:r>
      <w:bookmarkStart w:id="0" w:name="_GoBack"/>
      <w:bookmarkEnd w:id="0"/>
      <w:r>
        <w:rPr>
          <w:rFonts w:ascii="Aptos" w:hAnsi="Aptos"/>
          <w:b/>
          <w:sz w:val="24"/>
        </w:rPr>
        <w:t>Bidder)</w:t>
      </w:r>
    </w:p>
    <w:p w14:paraId="572FE246" w14:textId="7D6F7CF5" w:rsidR="00DC18DB" w:rsidRPr="00492D5C" w:rsidRDefault="00B20003" w:rsidP="00492D5C">
      <w:pPr>
        <w:spacing w:line="276" w:lineRule="auto"/>
        <w:ind w:left="116"/>
        <w:rPr>
          <w:rFonts w:ascii="Aptos" w:hAnsi="Aptos" w:cstheme="minorHAnsi"/>
          <w:sz w:val="24"/>
          <w:szCs w:val="24"/>
        </w:rPr>
      </w:pPr>
      <w:r>
        <w:rPr>
          <w:rFonts w:ascii="Aptos" w:hAnsi="Aptos"/>
          <w:sz w:val="24"/>
        </w:rPr>
        <w:t>.............................................................................................................................................................................................................................................................................................................................................................................................................................................</w:t>
      </w:r>
    </w:p>
    <w:p w14:paraId="63086C52" w14:textId="77777777" w:rsidR="00DC18DB" w:rsidRPr="00492D5C" w:rsidRDefault="00DC18DB" w:rsidP="00492D5C">
      <w:pPr>
        <w:spacing w:before="121" w:line="276" w:lineRule="auto"/>
        <w:rPr>
          <w:rFonts w:ascii="Aptos" w:hAnsi="Aptos" w:cstheme="minorHAnsi"/>
          <w:sz w:val="24"/>
          <w:szCs w:val="24"/>
        </w:rPr>
      </w:pPr>
    </w:p>
    <w:p w14:paraId="2F6C1433" w14:textId="6609A2A5" w:rsidR="00CF3607" w:rsidRPr="00492D5C" w:rsidRDefault="00B20003" w:rsidP="00492D5C">
      <w:pPr>
        <w:spacing w:line="276" w:lineRule="auto"/>
        <w:ind w:left="116" w:right="115"/>
        <w:jc w:val="both"/>
        <w:rPr>
          <w:rFonts w:ascii="Aptos" w:hAnsi="Aptos" w:cstheme="minorHAnsi"/>
          <w:sz w:val="24"/>
          <w:szCs w:val="24"/>
        </w:rPr>
      </w:pPr>
      <w:r>
        <w:rPr>
          <w:rFonts w:ascii="Aptos" w:hAnsi="Aptos"/>
          <w:sz w:val="24"/>
        </w:rPr>
        <w:t>When participating in the procurement procedure for the supply of:</w:t>
      </w:r>
    </w:p>
    <w:p w14:paraId="2C708328" w14:textId="77777777" w:rsidR="00492D5C" w:rsidRPr="00492D5C" w:rsidRDefault="00492D5C" w:rsidP="00492D5C">
      <w:pPr>
        <w:widowControl/>
        <w:numPr>
          <w:ilvl w:val="0"/>
          <w:numId w:val="4"/>
        </w:numPr>
        <w:autoSpaceDE/>
        <w:autoSpaceDN/>
        <w:spacing w:after="160" w:line="276" w:lineRule="auto"/>
        <w:contextualSpacing/>
        <w:jc w:val="both"/>
        <w:rPr>
          <w:rFonts w:ascii="Aptos" w:hAnsi="Aptos"/>
          <w:b/>
          <w:bCs/>
          <w:color w:val="000000"/>
          <w:sz w:val="24"/>
          <w:szCs w:val="24"/>
        </w:rPr>
      </w:pPr>
      <w:r>
        <w:rPr>
          <w:rFonts w:ascii="Aptos" w:hAnsi="Aptos"/>
          <w:b/>
          <w:color w:val="000000"/>
          <w:sz w:val="24"/>
        </w:rPr>
        <w:t>Part 1 of the procurement order: delivery and commissioning of a system for the automation and robotisation of the semi-finished products warehouse and/or</w:t>
      </w:r>
    </w:p>
    <w:p w14:paraId="73645CB6" w14:textId="77777777" w:rsidR="00492D5C" w:rsidRPr="00492D5C" w:rsidRDefault="00492D5C" w:rsidP="00492D5C">
      <w:pPr>
        <w:widowControl/>
        <w:numPr>
          <w:ilvl w:val="0"/>
          <w:numId w:val="4"/>
        </w:numPr>
        <w:autoSpaceDE/>
        <w:autoSpaceDN/>
        <w:spacing w:after="160" w:line="276" w:lineRule="auto"/>
        <w:contextualSpacing/>
        <w:jc w:val="both"/>
        <w:rPr>
          <w:rFonts w:ascii="Aptos" w:hAnsi="Aptos"/>
          <w:b/>
          <w:bCs/>
          <w:color w:val="000000"/>
          <w:sz w:val="24"/>
          <w:szCs w:val="24"/>
        </w:rPr>
      </w:pPr>
      <w:r>
        <w:rPr>
          <w:rFonts w:ascii="Aptos" w:hAnsi="Aptos"/>
          <w:b/>
          <w:color w:val="000000"/>
          <w:sz w:val="24"/>
        </w:rPr>
        <w:t>Part 2 of the procurement order: delivery and commissioning of a system for the automation and robotisation of the finished goods warehouse.</w:t>
      </w:r>
    </w:p>
    <w:p w14:paraId="25FB0A3E" w14:textId="77777777" w:rsidR="002D7281" w:rsidRPr="00492D5C" w:rsidRDefault="002D7281" w:rsidP="00492D5C">
      <w:pPr>
        <w:spacing w:line="276" w:lineRule="auto"/>
        <w:ind w:left="116" w:right="115"/>
        <w:jc w:val="both"/>
        <w:rPr>
          <w:rFonts w:ascii="Aptos" w:hAnsi="Aptos" w:cstheme="minorHAnsi"/>
          <w:sz w:val="24"/>
          <w:szCs w:val="24"/>
        </w:rPr>
      </w:pPr>
    </w:p>
    <w:p w14:paraId="6A0B2E24" w14:textId="645F19C2" w:rsidR="00DC18DB" w:rsidRPr="00492D5C" w:rsidRDefault="00B20003" w:rsidP="00492D5C">
      <w:pPr>
        <w:spacing w:line="276" w:lineRule="auto"/>
        <w:ind w:left="116" w:right="115"/>
        <w:jc w:val="both"/>
        <w:rPr>
          <w:rFonts w:ascii="Aptos" w:hAnsi="Aptos" w:cstheme="minorHAnsi"/>
          <w:sz w:val="24"/>
          <w:szCs w:val="24"/>
        </w:rPr>
      </w:pPr>
      <w:r>
        <w:rPr>
          <w:rFonts w:ascii="Aptos" w:hAnsi="Aptos"/>
          <w:sz w:val="24"/>
        </w:rPr>
        <w:t>the Contractor is not subject to exclusion from the procedure pursuant to Article 5k of Council Regulation (EU) No 833/2014 of the 31</w:t>
      </w:r>
      <w:r>
        <w:rPr>
          <w:rFonts w:ascii="Aptos" w:hAnsi="Aptos"/>
          <w:sz w:val="24"/>
          <w:vertAlign w:val="superscript"/>
        </w:rPr>
        <w:t>st</w:t>
      </w:r>
      <w:r>
        <w:rPr>
          <w:rFonts w:ascii="Aptos" w:hAnsi="Aptos"/>
          <w:sz w:val="24"/>
        </w:rPr>
        <w:t xml:space="preserve"> of July 2014 concerning restrictive measures in respect of Russia's actions destabilising the situation in Ukraine (OJ EU No. L 229 of 31.7.2014, p. 1), in the wording given by Council Regulation (EU) 2022/576 amending Regulation (EU) No. 833/2014 concerning restrictive measures in respect of Russia's actions destabilising the situation in Ukraine (OJ EU No L 111 of 8.4.2022, p. 1), as amended1</w:t>
      </w:r>
    </w:p>
    <w:p w14:paraId="49F5FA29" w14:textId="77777777" w:rsidR="00DC18DB" w:rsidRPr="00F27980" w:rsidRDefault="00B20003">
      <w:pPr>
        <w:spacing w:before="47"/>
        <w:rPr>
          <w:rFonts w:ascii="Aptos" w:hAnsi="Aptos" w:cstheme="minorHAnsi"/>
        </w:rPr>
      </w:pPr>
      <w:r>
        <w:rPr>
          <w:rFonts w:ascii="Aptos" w:hAnsi="Aptos"/>
          <w:noProof/>
          <w:lang w:val="pl-PL" w:eastAsia="pl-PL"/>
        </w:rPr>
        <mc:AlternateContent>
          <mc:Choice Requires="wps">
            <w:drawing>
              <wp:anchor distT="0" distB="0" distL="0" distR="0" simplePos="0" relativeHeight="487587840" behindDoc="1" locked="0" layoutInCell="1" allowOverlap="1" wp14:anchorId="5EC00C52" wp14:editId="08A58FD1">
                <wp:simplePos x="0" y="0"/>
                <wp:positionH relativeFrom="page">
                  <wp:posOffset>899160</wp:posOffset>
                </wp:positionH>
                <wp:positionV relativeFrom="paragraph">
                  <wp:posOffset>200127</wp:posOffset>
                </wp:positionV>
                <wp:extent cx="18288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84E64F" id="Graphic 2" o:spid="_x0000_s1026" style="position:absolute;margin-left:70.8pt;margin-top:15.7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" path="m1828800,l,,,9144r1828800,l1828800,xe" fillcolor="black" stroked="f">
                <v:path arrowok="t"/>
                <w10:wrap type="topAndBottom" anchorx="page"/>
              </v:shape>
            </w:pict>
          </mc:Fallback>
        </mc:AlternateContent>
      </w:r>
    </w:p>
    <w:p w14:paraId="7C8AE3FD" w14:textId="77777777" w:rsidR="00DC18DB" w:rsidRPr="00492D5C" w:rsidRDefault="00B20003">
      <w:pPr>
        <w:spacing w:before="97"/>
        <w:ind w:left="116" w:right="115"/>
        <w:jc w:val="both"/>
        <w:rPr>
          <w:rFonts w:ascii="Aptos" w:hAnsi="Aptos" w:cstheme="minorHAnsi"/>
          <w:sz w:val="16"/>
          <w:szCs w:val="16"/>
        </w:rPr>
      </w:pPr>
      <w:r>
        <w:rPr>
          <w:rFonts w:ascii="Aptos" w:hAnsi="Aptos"/>
          <w:sz w:val="16"/>
        </w:rPr>
        <w:t>1 As set out in Article 5k of Regulation 833/2014: 1. It is prohibited to award or allow the continued performance of any public procurement or concession contracts falling within the scope of the public procurement directives and within the scope of Article 10(1), (3), (6)(a) to (e), (8), (9) and (10), Article 11, 12, 13 and 14 of Directive 2014/23/EU, Article 7(a) to (d), Article 8, Article 10(b) to (f) and (h) to (j) of Directive 2014/24/EU, Article 18, Articles 21(b) to (e) and (g) to (i), Articles 29 and 30 of Directive 2014/25/EU, and Articles 13(a) to (d), (f) to (h) and (j) of Directive 2009/81/EC and Title VII of Regulation (EU, Euratom) 2018/1046 for or with the participation of:</w:t>
      </w:r>
    </w:p>
    <w:p w14:paraId="77594CBB" w14:textId="77777777" w:rsidR="00DC18DB" w:rsidRPr="00492D5C" w:rsidRDefault="00B20003">
      <w:pPr>
        <w:pStyle w:val="Akapitzlist"/>
        <w:numPr>
          <w:ilvl w:val="1"/>
          <w:numId w:val="3"/>
        </w:numPr>
        <w:tabs>
          <w:tab w:val="left" w:pos="359"/>
        </w:tabs>
        <w:spacing w:before="3" w:line="194" w:lineRule="exact"/>
        <w:ind w:left="359" w:right="0" w:hanging="243"/>
        <w:rPr>
          <w:rFonts w:ascii="Aptos" w:hAnsi="Aptos" w:cstheme="minorHAnsi"/>
          <w:sz w:val="16"/>
          <w:szCs w:val="16"/>
        </w:rPr>
      </w:pPr>
      <w:r>
        <w:rPr>
          <w:rFonts w:ascii="Aptos" w:hAnsi="Aptos"/>
          <w:sz w:val="16"/>
        </w:rPr>
        <w:t>Russian citizens, natural persons residing in Russia, or legal persons, entities or bodies established in Russia;</w:t>
      </w:r>
    </w:p>
    <w:p w14:paraId="37E18A76" w14:textId="77777777" w:rsidR="00DC18DB" w:rsidRPr="00492D5C" w:rsidRDefault="00B20003">
      <w:pPr>
        <w:pStyle w:val="Akapitzlist"/>
        <w:numPr>
          <w:ilvl w:val="1"/>
          <w:numId w:val="3"/>
        </w:numPr>
        <w:tabs>
          <w:tab w:val="left" w:pos="283"/>
        </w:tabs>
        <w:ind w:left="116" w:firstLine="0"/>
        <w:rPr>
          <w:rFonts w:ascii="Aptos" w:hAnsi="Aptos" w:cstheme="minorHAnsi"/>
          <w:sz w:val="16"/>
          <w:szCs w:val="16"/>
        </w:rPr>
      </w:pPr>
      <w:r>
        <w:rPr>
          <w:rFonts w:ascii="Aptos" w:hAnsi="Aptos"/>
          <w:sz w:val="16"/>
        </w:rPr>
        <w:t>legal persons, entities or bodies in which more than 50 % of the ownership rights are held, directly or indirectly, by an entity referred to in point (a) of this paragraph; or</w:t>
      </w:r>
    </w:p>
    <w:p w14:paraId="62899354" w14:textId="1B2FBD3B" w:rsidR="00DC18DB" w:rsidRPr="00492D5C" w:rsidRDefault="00B20003">
      <w:pPr>
        <w:pStyle w:val="Akapitzlist"/>
        <w:numPr>
          <w:ilvl w:val="1"/>
          <w:numId w:val="3"/>
        </w:numPr>
        <w:tabs>
          <w:tab w:val="left" w:pos="350"/>
        </w:tabs>
        <w:spacing w:before="1"/>
        <w:ind w:left="116" w:firstLine="0"/>
        <w:rPr>
          <w:rFonts w:ascii="Aptos" w:hAnsi="Aptos" w:cstheme="minorHAnsi"/>
          <w:sz w:val="16"/>
          <w:szCs w:val="16"/>
        </w:rPr>
      </w:pPr>
      <w:r>
        <w:rPr>
          <w:rFonts w:ascii="Aptos" w:hAnsi="Aptos"/>
          <w:sz w:val="16"/>
        </w:rPr>
        <w:t>natural or legal persons, entities or bodies acting on behalf of or under the direction of the entity referred to in point (a) or (b) of this paragraph, including subcontractors, suppliers or entities on whose capacity they rely within the meaning of the public procurement directives, where they account for more than 10 % of the value of the procurement.</w:t>
      </w:r>
    </w:p>
    <w:p w14:paraId="52E5DBC6" w14:textId="77777777" w:rsidR="00DC18DB" w:rsidRPr="00492D5C" w:rsidRDefault="00B20003">
      <w:pPr>
        <w:pStyle w:val="Akapitzlist"/>
        <w:numPr>
          <w:ilvl w:val="0"/>
          <w:numId w:val="3"/>
        </w:numPr>
        <w:tabs>
          <w:tab w:val="left" w:pos="428"/>
        </w:tabs>
        <w:spacing w:line="195" w:lineRule="exact"/>
        <w:ind w:left="428" w:right="0" w:hanging="312"/>
        <w:rPr>
          <w:rFonts w:ascii="Aptos" w:hAnsi="Aptos" w:cstheme="minorHAnsi"/>
          <w:sz w:val="16"/>
          <w:szCs w:val="16"/>
        </w:rPr>
      </w:pPr>
      <w:r>
        <w:rPr>
          <w:rFonts w:ascii="Aptos" w:hAnsi="Aptos"/>
          <w:sz w:val="16"/>
        </w:rPr>
        <w:t>By way of derogation from paragraph 1, the competent authorities may authorise the award and continued performance of contracts having as their subject-matter:</w:t>
      </w:r>
    </w:p>
    <w:p w14:paraId="572D2819" w14:textId="77777777" w:rsidR="00DC18DB" w:rsidRPr="00F27980" w:rsidRDefault="00B20003">
      <w:pPr>
        <w:pStyle w:val="Akapitzlist"/>
        <w:numPr>
          <w:ilvl w:val="1"/>
          <w:numId w:val="3"/>
        </w:numPr>
        <w:tabs>
          <w:tab w:val="left" w:pos="381"/>
        </w:tabs>
        <w:spacing w:before="1"/>
        <w:ind w:left="116" w:right="115" w:firstLine="0"/>
        <w:rPr>
          <w:rFonts w:ascii="Aptos" w:hAnsi="Aptos" w:cstheme="minorHAnsi"/>
          <w:sz w:val="16"/>
          <w:szCs w:val="16"/>
        </w:rPr>
      </w:pPr>
      <w:r>
        <w:rPr>
          <w:rFonts w:ascii="Aptos" w:hAnsi="Aptos"/>
          <w:sz w:val="16"/>
        </w:rPr>
        <w:t>operation, maintenance, decommissioning of civil nuclear facilities and the management of radioactive waste from those facilities, the supply of fuel, the reprocessing and safety of fuel, and the continuation of the design, construction and commissioning necessary to complete civil nuclear facilities, as well as the supply of precursors for the production of medical radioisotopes and for similar medical applications, critical technologies for environmental radiation monitoring, as well as cooperation in the field of civil nuclear energy, in particular in the field of research and development;</w:t>
      </w:r>
    </w:p>
    <w:p w14:paraId="7A6839DE" w14:textId="77777777" w:rsidR="00DC18DB" w:rsidRPr="00F27980" w:rsidRDefault="00B20003">
      <w:pPr>
        <w:pStyle w:val="Akapitzlist"/>
        <w:numPr>
          <w:ilvl w:val="1"/>
          <w:numId w:val="3"/>
        </w:numPr>
        <w:tabs>
          <w:tab w:val="left" w:pos="366"/>
        </w:tabs>
        <w:spacing w:line="193" w:lineRule="exact"/>
        <w:ind w:left="366" w:right="0" w:hanging="250"/>
        <w:rPr>
          <w:rFonts w:ascii="Aptos" w:hAnsi="Aptos" w:cstheme="minorHAnsi"/>
          <w:sz w:val="16"/>
          <w:szCs w:val="16"/>
        </w:rPr>
      </w:pPr>
      <w:r>
        <w:rPr>
          <w:rFonts w:ascii="Aptos" w:hAnsi="Aptos"/>
          <w:sz w:val="16"/>
        </w:rPr>
        <w:t>intergovernmental cooperation in space programmes;</w:t>
      </w:r>
    </w:p>
    <w:p w14:paraId="0B810458" w14:textId="77777777" w:rsidR="00DC18DB" w:rsidRPr="00F27980" w:rsidRDefault="00B20003">
      <w:pPr>
        <w:pStyle w:val="Akapitzlist"/>
        <w:numPr>
          <w:ilvl w:val="1"/>
          <w:numId w:val="3"/>
        </w:numPr>
        <w:tabs>
          <w:tab w:val="left" w:pos="350"/>
        </w:tabs>
        <w:ind w:left="116" w:right="115" w:firstLine="0"/>
        <w:rPr>
          <w:rFonts w:ascii="Aptos" w:hAnsi="Aptos" w:cstheme="minorHAnsi"/>
          <w:sz w:val="16"/>
          <w:szCs w:val="16"/>
        </w:rPr>
      </w:pPr>
      <w:r>
        <w:rPr>
          <w:rFonts w:ascii="Aptos" w:hAnsi="Aptos"/>
          <w:sz w:val="16"/>
        </w:rPr>
        <w:t>the supply of absolutely essential goods or services which can only be supplied by the persons referred to in paragraph 1, or which can only be supplied in sufficient quantities or to a sufficient extent by the persons referred to in paragraph 1;</w:t>
      </w:r>
    </w:p>
    <w:p w14:paraId="6F905FD5" w14:textId="77777777" w:rsidR="00DC18DB" w:rsidRPr="00F27980" w:rsidRDefault="00DC18DB">
      <w:pPr>
        <w:jc w:val="both"/>
        <w:rPr>
          <w:rFonts w:ascii="Aptos" w:hAnsi="Aptos" w:cstheme="minorHAnsi"/>
        </w:rPr>
        <w:sectPr w:rsidR="00DC18DB" w:rsidRPr="00F27980">
          <w:headerReference w:type="default" r:id="rId10"/>
          <w:type w:val="continuous"/>
          <w:pgSz w:w="12240" w:h="15840"/>
          <w:pgMar w:top="700" w:right="1300" w:bottom="280" w:left="1300" w:header="720" w:footer="720" w:gutter="0"/>
          <w:cols w:space="720"/>
        </w:sectPr>
      </w:pPr>
    </w:p>
    <w:p w14:paraId="10B9739B" w14:textId="6AA3F468" w:rsidR="00DC18DB" w:rsidRPr="00F27980" w:rsidRDefault="00DC18DB">
      <w:pPr>
        <w:ind w:left="117"/>
        <w:rPr>
          <w:rFonts w:ascii="Aptos" w:hAnsi="Aptos" w:cstheme="minorHAnsi"/>
        </w:rPr>
      </w:pPr>
    </w:p>
    <w:p w14:paraId="3594B349" w14:textId="14A96B43" w:rsidR="00DC18DB" w:rsidRPr="00F27980" w:rsidRDefault="00B20003">
      <w:pPr>
        <w:pStyle w:val="Akapitzlist"/>
        <w:numPr>
          <w:ilvl w:val="0"/>
          <w:numId w:val="2"/>
        </w:numPr>
        <w:tabs>
          <w:tab w:val="left" w:pos="476"/>
        </w:tabs>
        <w:spacing w:before="194" w:line="297" w:lineRule="auto"/>
        <w:ind w:right="114"/>
        <w:rPr>
          <w:rFonts w:ascii="Aptos" w:hAnsi="Aptos" w:cstheme="minorHAnsi"/>
          <w:bCs/>
        </w:rPr>
      </w:pPr>
      <w:r>
        <w:rPr>
          <w:rFonts w:ascii="Aptos" w:hAnsi="Aptos"/>
        </w:rPr>
        <w:t>there are no grounds for excluding the Contractor from the procedure pursuant to Article 7(1) in conjunction with Article 7(9) of the Act of the 13</w:t>
      </w:r>
      <w:r>
        <w:rPr>
          <w:rFonts w:ascii="Aptos" w:hAnsi="Aptos"/>
          <w:vertAlign w:val="superscript"/>
        </w:rPr>
        <w:t>th</w:t>
      </w:r>
      <w:r>
        <w:rPr>
          <w:rFonts w:ascii="Aptos" w:hAnsi="Aptos"/>
        </w:rPr>
        <w:t xml:space="preserve"> of April 2022 on special measures to counteract support for aggression against Ukraine and to protect national security (Journal of Laws, item 835, as amended).2</w:t>
      </w:r>
    </w:p>
    <w:p w14:paraId="24AED748" w14:textId="77777777" w:rsidR="00DC18DB" w:rsidRPr="00F27980" w:rsidRDefault="00B20003">
      <w:pPr>
        <w:pStyle w:val="Nagwek1"/>
        <w:numPr>
          <w:ilvl w:val="0"/>
          <w:numId w:val="2"/>
        </w:numPr>
        <w:tabs>
          <w:tab w:val="left" w:pos="475"/>
        </w:tabs>
        <w:ind w:left="475" w:hanging="359"/>
        <w:jc w:val="both"/>
        <w:rPr>
          <w:rFonts w:ascii="Aptos" w:hAnsi="Aptos" w:cstheme="minorHAnsi"/>
          <w:bCs/>
          <w:sz w:val="22"/>
          <w:szCs w:val="22"/>
        </w:rPr>
      </w:pPr>
      <w:r>
        <w:rPr>
          <w:rFonts w:ascii="Aptos" w:hAnsi="Aptos"/>
          <w:sz w:val="22"/>
        </w:rPr>
        <w:t>I/we declare that all information provided in the above declarations is up-to-date and true.</w:t>
      </w:r>
    </w:p>
    <w:p w14:paraId="62859DE0" w14:textId="77777777" w:rsidR="00DC18DB" w:rsidRPr="00F27980" w:rsidRDefault="00DC18DB">
      <w:pPr>
        <w:rPr>
          <w:rFonts w:ascii="Aptos" w:hAnsi="Aptos" w:cstheme="minorHAnsi"/>
          <w:bCs/>
        </w:rPr>
      </w:pPr>
    </w:p>
    <w:p w14:paraId="3B068779" w14:textId="77777777" w:rsidR="00DC18DB" w:rsidRPr="00F27980" w:rsidRDefault="00DC18DB">
      <w:pPr>
        <w:spacing w:before="184"/>
        <w:rPr>
          <w:rFonts w:ascii="Aptos" w:hAnsi="Aptos" w:cstheme="minorHAnsi"/>
        </w:rPr>
      </w:pPr>
    </w:p>
    <w:p w14:paraId="0487F26B" w14:textId="77777777" w:rsidR="00DC18DB" w:rsidRPr="00F27980" w:rsidRDefault="00B20003">
      <w:pPr>
        <w:tabs>
          <w:tab w:val="left" w:pos="5115"/>
        </w:tabs>
        <w:ind w:left="116"/>
        <w:rPr>
          <w:rFonts w:ascii="Aptos" w:hAnsi="Aptos" w:cstheme="minorHAnsi"/>
        </w:rPr>
      </w:pPr>
      <w:r>
        <w:rPr>
          <w:rFonts w:ascii="Aptos" w:hAnsi="Aptos"/>
        </w:rPr>
        <w:t>……………………..……………</w:t>
      </w:r>
      <w:r>
        <w:rPr>
          <w:rFonts w:ascii="Aptos" w:hAnsi="Aptos"/>
        </w:rPr>
        <w:tab/>
        <w:t>......................................................</w:t>
      </w:r>
    </w:p>
    <w:p w14:paraId="608F6333" w14:textId="5B49041D" w:rsidR="00DC18DB" w:rsidRPr="00F27980" w:rsidRDefault="00B20003" w:rsidP="005201EA">
      <w:pPr>
        <w:pStyle w:val="Nagwek1"/>
        <w:tabs>
          <w:tab w:val="left" w:pos="5065"/>
        </w:tabs>
        <w:spacing w:before="64" w:line="297" w:lineRule="auto"/>
        <w:ind w:left="5066" w:right="115" w:hanging="4950"/>
        <w:rPr>
          <w:rFonts w:ascii="Aptos" w:hAnsi="Aptos" w:cstheme="minorHAnsi"/>
          <w:sz w:val="22"/>
          <w:szCs w:val="22"/>
        </w:rPr>
      </w:pPr>
      <w:r>
        <w:rPr>
          <w:rFonts w:ascii="Aptos" w:hAnsi="Aptos"/>
          <w:sz w:val="22"/>
        </w:rPr>
        <w:t>(place and date) signature of person(s) authorised to represent the Bidder</w:t>
      </w:r>
    </w:p>
    <w:p w14:paraId="77DD985B" w14:textId="77777777" w:rsidR="00DC18DB" w:rsidRPr="00F27980" w:rsidRDefault="00B20003">
      <w:pPr>
        <w:spacing w:before="87"/>
        <w:rPr>
          <w:rFonts w:ascii="Aptos" w:hAnsi="Aptos" w:cstheme="minorHAnsi"/>
        </w:rPr>
      </w:pPr>
      <w:r>
        <w:rPr>
          <w:rFonts w:ascii="Aptos" w:hAnsi="Aptos"/>
          <w:noProof/>
          <w:lang w:val="pl-PL" w:eastAsia="pl-PL"/>
        </w:rPr>
        <mc:AlternateContent>
          <mc:Choice Requires="wps">
            <w:drawing>
              <wp:anchor distT="0" distB="0" distL="0" distR="0" simplePos="0" relativeHeight="487588352" behindDoc="1" locked="0" layoutInCell="1" allowOverlap="1" wp14:anchorId="53352D8B" wp14:editId="3A20FFD8">
                <wp:simplePos x="0" y="0"/>
                <wp:positionH relativeFrom="page">
                  <wp:posOffset>899160</wp:posOffset>
                </wp:positionH>
                <wp:positionV relativeFrom="paragraph">
                  <wp:posOffset>225712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80CC5A" id="Graphic 4" o:spid="_x0000_s1026" style="position:absolute;margin-left:70.8pt;margin-top:17.7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" path="m1828800,l,,,9144r1828800,l1828800,xe" fillcolor="black" stroked="f">
                <v:path arrowok="t"/>
                <w10:wrap type="topAndBottom" anchorx="page"/>
              </v:shape>
            </w:pict>
          </mc:Fallback>
        </mc:AlternateContent>
      </w:r>
    </w:p>
    <w:p w14:paraId="0B2ACC6E" w14:textId="77777777" w:rsidR="00DC18DB" w:rsidRPr="00F27980" w:rsidRDefault="00B20003">
      <w:pPr>
        <w:pStyle w:val="Akapitzlist"/>
        <w:numPr>
          <w:ilvl w:val="1"/>
          <w:numId w:val="3"/>
        </w:numPr>
        <w:tabs>
          <w:tab w:val="left" w:pos="366"/>
        </w:tabs>
        <w:spacing w:before="105" w:line="235" w:lineRule="auto"/>
        <w:ind w:left="116" w:firstLine="0"/>
        <w:rPr>
          <w:rFonts w:ascii="Aptos" w:hAnsi="Aptos" w:cstheme="minorHAnsi"/>
          <w:sz w:val="16"/>
          <w:szCs w:val="16"/>
        </w:rPr>
      </w:pPr>
      <w:r>
        <w:rPr>
          <w:rFonts w:ascii="Aptos" w:hAnsi="Aptos"/>
          <w:sz w:val="16"/>
        </w:rPr>
        <w:t>the functioning of diplomatic and consular representations of the Union and Member States in Russia, including delegations, embassies and missions, or international organisations in Russia enjoying immunities in accordance with international law;</w:t>
      </w:r>
    </w:p>
    <w:p w14:paraId="03F144B2" w14:textId="77777777" w:rsidR="00DC18DB" w:rsidRPr="00F27980" w:rsidRDefault="00B20003">
      <w:pPr>
        <w:pStyle w:val="Akapitzlist"/>
        <w:numPr>
          <w:ilvl w:val="1"/>
          <w:numId w:val="3"/>
        </w:numPr>
        <w:tabs>
          <w:tab w:val="left" w:pos="362"/>
        </w:tabs>
        <w:spacing w:before="3"/>
        <w:ind w:left="116" w:firstLine="0"/>
        <w:rPr>
          <w:rFonts w:ascii="Aptos" w:hAnsi="Aptos" w:cstheme="minorHAnsi"/>
          <w:sz w:val="16"/>
          <w:szCs w:val="16"/>
        </w:rPr>
      </w:pPr>
      <w:r>
        <w:rPr>
          <w:rFonts w:ascii="Aptos" w:hAnsi="Aptos"/>
          <w:sz w:val="16"/>
        </w:rPr>
        <w:t>unless prohibited under Article 3m or 3n, the purchase, import or transport of natural gas and crude oil, including petroleum products, as well as titanium, aluminium, copper, nickel, palladium and iron ore from Russia or through Russia to the Union; or</w:t>
      </w:r>
    </w:p>
    <w:p w14:paraId="59E524FF" w14:textId="77777777" w:rsidR="00DC18DB" w:rsidRPr="00F27980" w:rsidRDefault="00B20003">
      <w:pPr>
        <w:pStyle w:val="Akapitzlist"/>
        <w:numPr>
          <w:ilvl w:val="1"/>
          <w:numId w:val="3"/>
        </w:numPr>
        <w:tabs>
          <w:tab w:val="left" w:pos="331"/>
        </w:tabs>
        <w:spacing w:before="3" w:line="194" w:lineRule="exact"/>
        <w:ind w:left="331" w:right="0" w:hanging="215"/>
        <w:rPr>
          <w:rFonts w:ascii="Aptos" w:hAnsi="Aptos" w:cstheme="minorHAnsi"/>
          <w:sz w:val="16"/>
          <w:szCs w:val="16"/>
        </w:rPr>
      </w:pPr>
      <w:r>
        <w:rPr>
          <w:rFonts w:ascii="Aptos" w:hAnsi="Aptos"/>
          <w:sz w:val="16"/>
        </w:rPr>
        <w:t>the purchase, import or transport into the Union of coal and other solid fossil fuels listed in Annex XXII until the 10</w:t>
      </w:r>
      <w:r>
        <w:rPr>
          <w:rFonts w:ascii="Aptos" w:hAnsi="Aptos"/>
          <w:sz w:val="16"/>
          <w:vertAlign w:val="superscript"/>
        </w:rPr>
        <w:t>th</w:t>
      </w:r>
      <w:r>
        <w:rPr>
          <w:rFonts w:ascii="Aptos" w:hAnsi="Aptos"/>
          <w:sz w:val="16"/>
        </w:rPr>
        <w:t xml:space="preserve"> of August 2022.</w:t>
      </w:r>
    </w:p>
    <w:p w14:paraId="46C93DA7" w14:textId="77777777" w:rsidR="00DC18DB" w:rsidRPr="00F27980" w:rsidRDefault="00B20003">
      <w:pPr>
        <w:pStyle w:val="Akapitzlist"/>
        <w:numPr>
          <w:ilvl w:val="0"/>
          <w:numId w:val="3"/>
        </w:numPr>
        <w:tabs>
          <w:tab w:val="left" w:pos="467"/>
        </w:tabs>
        <w:ind w:left="116" w:firstLine="0"/>
        <w:rPr>
          <w:rFonts w:ascii="Aptos" w:hAnsi="Aptos" w:cstheme="minorHAnsi"/>
          <w:sz w:val="16"/>
          <w:szCs w:val="16"/>
        </w:rPr>
      </w:pPr>
      <w:r>
        <w:rPr>
          <w:rFonts w:ascii="Aptos" w:hAnsi="Aptos"/>
          <w:sz w:val="16"/>
        </w:rPr>
        <w:t>The Member State concerned shall inform the other Member States and the Commission of any authorisation granted under this Article within two weeks of granting the authorisation.</w:t>
      </w:r>
    </w:p>
    <w:p w14:paraId="314F028A" w14:textId="77777777" w:rsidR="00DC18DB" w:rsidRPr="00F27980" w:rsidRDefault="00B20003">
      <w:pPr>
        <w:pStyle w:val="Akapitzlist"/>
        <w:numPr>
          <w:ilvl w:val="0"/>
          <w:numId w:val="3"/>
        </w:numPr>
        <w:tabs>
          <w:tab w:val="left" w:pos="450"/>
        </w:tabs>
        <w:spacing w:before="4" w:line="235" w:lineRule="auto"/>
        <w:ind w:left="116" w:firstLine="0"/>
        <w:rPr>
          <w:rFonts w:ascii="Aptos" w:hAnsi="Aptos" w:cstheme="minorHAnsi"/>
          <w:sz w:val="16"/>
          <w:szCs w:val="16"/>
        </w:rPr>
      </w:pPr>
      <w:r>
        <w:rPr>
          <w:rFonts w:ascii="Aptos" w:hAnsi="Aptos"/>
          <w:sz w:val="16"/>
        </w:rPr>
        <w:t>The prohibitions laid down in paragraph 1 shall not apply to the performance, until the 10</w:t>
      </w:r>
      <w:r>
        <w:rPr>
          <w:rFonts w:ascii="Aptos" w:hAnsi="Aptos"/>
          <w:sz w:val="16"/>
          <w:vertAlign w:val="superscript"/>
        </w:rPr>
        <w:t>th</w:t>
      </w:r>
      <w:r>
        <w:rPr>
          <w:rFonts w:ascii="Aptos" w:hAnsi="Aptos"/>
          <w:sz w:val="16"/>
        </w:rPr>
        <w:t xml:space="preserve"> of October 2022, of agreements concluded before the 9</w:t>
      </w:r>
      <w:r>
        <w:rPr>
          <w:rFonts w:ascii="Aptos" w:hAnsi="Aptos"/>
          <w:sz w:val="16"/>
          <w:vertAlign w:val="superscript"/>
        </w:rPr>
        <w:t>th</w:t>
      </w:r>
      <w:r>
        <w:rPr>
          <w:rFonts w:ascii="Aptos" w:hAnsi="Aptos"/>
          <w:sz w:val="16"/>
        </w:rPr>
        <w:t xml:space="preserve"> of April 2022.</w:t>
      </w:r>
    </w:p>
    <w:p w14:paraId="3F213DED" w14:textId="5F65305B" w:rsidR="00DC18DB" w:rsidRPr="00F27980" w:rsidRDefault="00DC18DB">
      <w:pPr>
        <w:spacing w:before="3"/>
        <w:ind w:left="116"/>
        <w:rPr>
          <w:rFonts w:ascii="Aptos" w:hAnsi="Aptos" w:cstheme="minorHAnsi"/>
          <w:sz w:val="16"/>
          <w:szCs w:val="16"/>
        </w:rPr>
      </w:pPr>
    </w:p>
    <w:p w14:paraId="7951861C" w14:textId="77777777" w:rsidR="00DC18DB" w:rsidRPr="00F27980" w:rsidRDefault="00B20003">
      <w:pPr>
        <w:spacing w:before="5" w:line="235" w:lineRule="auto"/>
        <w:ind w:left="116" w:right="115"/>
        <w:jc w:val="both"/>
        <w:rPr>
          <w:rFonts w:ascii="Aptos" w:hAnsi="Aptos" w:cstheme="minorHAnsi"/>
          <w:i/>
          <w:sz w:val="16"/>
          <w:szCs w:val="16"/>
        </w:rPr>
      </w:pPr>
      <w:r>
        <w:rPr>
          <w:rFonts w:ascii="Aptos" w:hAnsi="Aptos"/>
          <w:sz w:val="16"/>
        </w:rPr>
        <w:t>2 Pursuant to Article 7 of the Act of the 13</w:t>
      </w:r>
      <w:r>
        <w:rPr>
          <w:rFonts w:ascii="Aptos" w:hAnsi="Aptos"/>
          <w:sz w:val="16"/>
          <w:vertAlign w:val="superscript"/>
        </w:rPr>
        <w:t xml:space="preserve">th </w:t>
      </w:r>
      <w:r>
        <w:rPr>
          <w:rFonts w:ascii="Aptos" w:hAnsi="Aptos"/>
          <w:sz w:val="16"/>
        </w:rPr>
        <w:t>of April 2022 on special measures to counteract support for aggression against Ukraine and to protect national security:</w:t>
      </w:r>
    </w:p>
    <w:p w14:paraId="4792D848" w14:textId="77777777" w:rsidR="00DC18DB" w:rsidRPr="00F27980" w:rsidRDefault="00B20003">
      <w:pPr>
        <w:pStyle w:val="Akapitzlist"/>
        <w:numPr>
          <w:ilvl w:val="0"/>
          <w:numId w:val="1"/>
        </w:numPr>
        <w:tabs>
          <w:tab w:val="left" w:pos="285"/>
        </w:tabs>
        <w:spacing w:before="3"/>
        <w:ind w:firstLine="0"/>
        <w:rPr>
          <w:rFonts w:ascii="Aptos" w:hAnsi="Aptos" w:cstheme="minorHAnsi"/>
          <w:i/>
          <w:sz w:val="16"/>
          <w:szCs w:val="16"/>
        </w:rPr>
      </w:pPr>
      <w:r>
        <w:rPr>
          <w:rFonts w:ascii="Aptos" w:hAnsi="Aptos"/>
          <w:i/>
          <w:color w:val="222222"/>
          <w:sz w:val="16"/>
        </w:rPr>
        <w:t>The following shall be excluded from public procurement procedures or competitions conducted on the basis of the Act of the 11</w:t>
      </w:r>
      <w:r>
        <w:rPr>
          <w:rFonts w:ascii="Aptos" w:hAnsi="Aptos"/>
          <w:i/>
          <w:color w:val="222222"/>
          <w:sz w:val="16"/>
          <w:vertAlign w:val="superscript"/>
        </w:rPr>
        <w:t>th</w:t>
      </w:r>
      <w:r>
        <w:rPr>
          <w:rFonts w:ascii="Aptos" w:hAnsi="Aptos"/>
          <w:i/>
          <w:color w:val="222222"/>
          <w:sz w:val="16"/>
        </w:rPr>
        <w:t xml:space="preserve"> of September 2019 - Public Procurement Law:</w:t>
      </w:r>
    </w:p>
    <w:p w14:paraId="67802296" w14:textId="77777777" w:rsidR="00DC18DB" w:rsidRPr="00F27980" w:rsidRDefault="00B20003">
      <w:pPr>
        <w:pStyle w:val="Akapitzlist"/>
        <w:numPr>
          <w:ilvl w:val="1"/>
          <w:numId w:val="1"/>
        </w:numPr>
        <w:tabs>
          <w:tab w:val="left" w:pos="298"/>
        </w:tabs>
        <w:ind w:firstLine="0"/>
        <w:rPr>
          <w:rFonts w:ascii="Aptos" w:hAnsi="Aptos" w:cstheme="minorHAnsi"/>
          <w:i/>
          <w:sz w:val="16"/>
          <w:szCs w:val="16"/>
        </w:rPr>
      </w:pPr>
      <w:r>
        <w:rPr>
          <w:rFonts w:ascii="Aptos" w:hAnsi="Aptos"/>
          <w:i/>
          <w:color w:val="222222"/>
          <w:sz w:val="16"/>
        </w:rPr>
        <w:t>the contractor and the participant in the competition listed in the lists specified in Regulation 765/2006 and Regulation 269/2014 or entered on the list on the basis of a decision on entry on the list determining the application of the measure referred to in Article 1(3);</w:t>
      </w:r>
    </w:p>
    <w:p w14:paraId="39BBCBEE" w14:textId="77777777" w:rsidR="00DC18DB" w:rsidRPr="00F27980" w:rsidRDefault="00B20003">
      <w:pPr>
        <w:pStyle w:val="Akapitzlist"/>
        <w:numPr>
          <w:ilvl w:val="1"/>
          <w:numId w:val="1"/>
        </w:numPr>
        <w:tabs>
          <w:tab w:val="left" w:pos="294"/>
        </w:tabs>
        <w:spacing w:before="1"/>
        <w:ind w:firstLine="0"/>
        <w:rPr>
          <w:rFonts w:ascii="Aptos" w:hAnsi="Aptos" w:cstheme="minorHAnsi"/>
          <w:i/>
          <w:sz w:val="16"/>
          <w:szCs w:val="16"/>
        </w:rPr>
      </w:pPr>
      <w:r>
        <w:rPr>
          <w:rFonts w:ascii="Aptos" w:hAnsi="Aptos"/>
          <w:i/>
          <w:color w:val="222222"/>
          <w:sz w:val="16"/>
        </w:rPr>
        <w:t>the contractor and the participant in the competition whose beneficial owner, within the meaning of the Act of the 1</w:t>
      </w:r>
      <w:r>
        <w:rPr>
          <w:rFonts w:ascii="Aptos" w:hAnsi="Aptos"/>
          <w:i/>
          <w:color w:val="222222"/>
          <w:sz w:val="16"/>
          <w:vertAlign w:val="superscript"/>
        </w:rPr>
        <w:t>st</w:t>
      </w:r>
      <w:r>
        <w:rPr>
          <w:rFonts w:ascii="Aptos" w:hAnsi="Aptos"/>
          <w:i/>
          <w:color w:val="222222"/>
          <w:sz w:val="16"/>
        </w:rPr>
        <w:t xml:space="preserve"> of March 2018 on counteracting money laundering and terrorist financing (Journal of Laws of 2022, items 593, 655, 835, 2180 and 2185) is a person listed in the lists specified in Regulation 765/2006 and Regulation 269/2014 or entered in the list or being such a beneficial owner from the 24</w:t>
      </w:r>
      <w:r>
        <w:rPr>
          <w:rFonts w:ascii="Aptos" w:hAnsi="Aptos"/>
          <w:i/>
          <w:color w:val="222222"/>
          <w:sz w:val="16"/>
          <w:vertAlign w:val="superscript"/>
        </w:rPr>
        <w:t>th</w:t>
      </w:r>
      <w:r>
        <w:rPr>
          <w:rFonts w:ascii="Aptos" w:hAnsi="Aptos"/>
          <w:i/>
          <w:color w:val="222222"/>
          <w:sz w:val="16"/>
        </w:rPr>
        <w:t xml:space="preserve"> of February 2022, provided that they have been included in the list on the basis of a decision on inclusion in the list determining the application of the measure referred to in Article 1(3);</w:t>
      </w:r>
    </w:p>
    <w:p w14:paraId="748B3177" w14:textId="77777777" w:rsidR="00DC18DB" w:rsidRPr="00F27980" w:rsidRDefault="00B20003">
      <w:pPr>
        <w:pStyle w:val="Akapitzlist"/>
        <w:numPr>
          <w:ilvl w:val="1"/>
          <w:numId w:val="1"/>
        </w:numPr>
        <w:tabs>
          <w:tab w:val="left" w:pos="244"/>
        </w:tabs>
        <w:ind w:firstLine="0"/>
        <w:rPr>
          <w:rFonts w:ascii="Aptos" w:hAnsi="Aptos" w:cstheme="minorHAnsi"/>
          <w:i/>
          <w:sz w:val="16"/>
          <w:szCs w:val="16"/>
        </w:rPr>
      </w:pPr>
      <w:r>
        <w:rPr>
          <w:rFonts w:ascii="Aptos" w:hAnsi="Aptos"/>
          <w:i/>
          <w:color w:val="222222"/>
          <w:sz w:val="16"/>
        </w:rPr>
        <w:t>the contractor and the participant in the competition whose parent entity within the meaning of Article 3(1)(37) of the Accounting Act of the 29</w:t>
      </w:r>
      <w:r>
        <w:rPr>
          <w:rFonts w:ascii="Aptos" w:hAnsi="Aptos"/>
          <w:i/>
          <w:color w:val="222222"/>
          <w:sz w:val="16"/>
          <w:vertAlign w:val="superscript"/>
        </w:rPr>
        <w:t>th</w:t>
      </w:r>
      <w:r>
        <w:rPr>
          <w:rFonts w:ascii="Aptos" w:hAnsi="Aptos"/>
          <w:i/>
          <w:color w:val="222222"/>
          <w:sz w:val="16"/>
        </w:rPr>
        <w:t xml:space="preserve"> of September 1994 (Journal of Laws of 2021, item 217, 2105 and 2106, and of 2022, item 1488) is an entity listed in the lists specified in Regulation 765/2006 and Regulation 269/2014 or entered in the list or being such a parent entity as of the 24</w:t>
      </w:r>
      <w:r>
        <w:rPr>
          <w:rFonts w:ascii="Aptos" w:hAnsi="Aptos"/>
          <w:i/>
          <w:color w:val="222222"/>
          <w:sz w:val="16"/>
          <w:vertAlign w:val="superscript"/>
        </w:rPr>
        <w:t>th</w:t>
      </w:r>
      <w:r>
        <w:rPr>
          <w:rFonts w:ascii="Aptos" w:hAnsi="Aptos"/>
          <w:i/>
          <w:color w:val="222222"/>
          <w:sz w:val="16"/>
        </w:rPr>
        <w:t xml:space="preserve"> of February 2022, provided that it has been included in the list on the basis of a decision on inclusion in the list determining the application of the measure referred to in Article 1(3).</w:t>
      </w:r>
    </w:p>
    <w:p w14:paraId="1AF5916D" w14:textId="77777777" w:rsidR="00DC18DB" w:rsidRPr="00F27980" w:rsidRDefault="00B20003">
      <w:pPr>
        <w:pStyle w:val="Akapitzlist"/>
        <w:numPr>
          <w:ilvl w:val="0"/>
          <w:numId w:val="1"/>
        </w:numPr>
        <w:tabs>
          <w:tab w:val="left" w:pos="403"/>
        </w:tabs>
        <w:ind w:left="403" w:right="0" w:hanging="287"/>
        <w:rPr>
          <w:rFonts w:ascii="Aptos" w:hAnsi="Aptos" w:cstheme="minorHAnsi"/>
          <w:i/>
          <w:sz w:val="16"/>
          <w:szCs w:val="16"/>
        </w:rPr>
      </w:pPr>
      <w:r>
        <w:rPr>
          <w:rFonts w:ascii="Aptos" w:hAnsi="Aptos"/>
          <w:i/>
          <w:color w:val="222222"/>
          <w:sz w:val="16"/>
        </w:rPr>
        <w:t>The exclusion shall apply for the duration of the circumstances specified in paragraph 1.</w:t>
      </w:r>
    </w:p>
    <w:p w14:paraId="59D8CB5A" w14:textId="77777777" w:rsidR="00DC18DB" w:rsidRPr="00F27980" w:rsidRDefault="00B20003">
      <w:pPr>
        <w:pStyle w:val="Akapitzlist"/>
        <w:numPr>
          <w:ilvl w:val="0"/>
          <w:numId w:val="1"/>
        </w:numPr>
        <w:tabs>
          <w:tab w:val="left" w:pos="403"/>
        </w:tabs>
        <w:ind w:right="115" w:firstLine="0"/>
        <w:rPr>
          <w:rFonts w:ascii="Aptos" w:hAnsi="Aptos" w:cstheme="minorHAnsi"/>
          <w:i/>
          <w:sz w:val="16"/>
          <w:szCs w:val="16"/>
        </w:rPr>
      </w:pPr>
      <w:r>
        <w:rPr>
          <w:rFonts w:ascii="Aptos" w:hAnsi="Aptos"/>
          <w:i/>
          <w:color w:val="222222"/>
          <w:sz w:val="16"/>
        </w:rPr>
        <w:t>In the case of a contractor or bidder excluded on the basis of paragraph 1, the contracting entity shall reject the application for admission to participate in the public procurement procedure or the bid of such contractor or bidder, shall not invite him to submit a preliminary bid, a bid subject to negotiation, an additional bid, a bid or a final bid, shall not invite them to negotiations or dialogue, and shall not conduct negotiations or dialogue with such a contractor, shall reject the application for admission to the competition, shall not invite them to submit a competition entry or shall not evaluate the competition entry, in accordance with the procedure applicable to the award of the public contract and the stage of the public procurement procedure.</w:t>
      </w:r>
    </w:p>
    <w:p w14:paraId="6CFE23D8" w14:textId="77777777" w:rsidR="00DC18DB" w:rsidRPr="00F27980" w:rsidRDefault="00B20003">
      <w:pPr>
        <w:pStyle w:val="Akapitzlist"/>
        <w:numPr>
          <w:ilvl w:val="0"/>
          <w:numId w:val="1"/>
        </w:numPr>
        <w:tabs>
          <w:tab w:val="left" w:pos="403"/>
        </w:tabs>
        <w:spacing w:line="195" w:lineRule="exact"/>
        <w:ind w:left="403" w:right="0" w:hanging="287"/>
        <w:rPr>
          <w:rFonts w:ascii="Aptos" w:hAnsi="Aptos" w:cstheme="minorHAnsi"/>
          <w:i/>
          <w:sz w:val="16"/>
          <w:szCs w:val="16"/>
        </w:rPr>
      </w:pPr>
      <w:r>
        <w:rPr>
          <w:rFonts w:ascii="Aptos" w:hAnsi="Aptos"/>
          <w:i/>
          <w:color w:val="222222"/>
          <w:sz w:val="16"/>
        </w:rPr>
        <w:t>Control of public procurement in terms of compliance with paragraph 1 shall be exercised in accordance with Article 596 of the Act of the 11</w:t>
      </w:r>
      <w:r>
        <w:rPr>
          <w:rFonts w:ascii="Aptos" w:hAnsi="Aptos"/>
          <w:i/>
          <w:color w:val="222222"/>
          <w:sz w:val="16"/>
          <w:vertAlign w:val="superscript"/>
        </w:rPr>
        <w:t>th</w:t>
      </w:r>
      <w:r>
        <w:rPr>
          <w:rFonts w:ascii="Aptos" w:hAnsi="Aptos"/>
          <w:i/>
          <w:color w:val="222222"/>
          <w:sz w:val="16"/>
        </w:rPr>
        <w:t xml:space="preserve"> of September 2019 – Public Procurement Law.</w:t>
      </w:r>
    </w:p>
    <w:p w14:paraId="6CB201BD" w14:textId="77777777" w:rsidR="00DC18DB" w:rsidRPr="00F27980" w:rsidRDefault="00DC18DB">
      <w:pPr>
        <w:pStyle w:val="Tekstpodstawowy"/>
        <w:spacing w:before="2" w:line="194" w:lineRule="exact"/>
        <w:ind w:left="116"/>
        <w:jc w:val="both"/>
        <w:rPr>
          <w:rFonts w:ascii="Aptos" w:hAnsi="Aptos" w:cstheme="minorHAnsi"/>
        </w:rPr>
      </w:pPr>
    </w:p>
    <w:p w14:paraId="03F99BA3" w14:textId="77777777" w:rsidR="00DC18DB" w:rsidRPr="00F27980" w:rsidRDefault="00B20003">
      <w:pPr>
        <w:pStyle w:val="Akapitzlist"/>
        <w:numPr>
          <w:ilvl w:val="0"/>
          <w:numId w:val="1"/>
        </w:numPr>
        <w:tabs>
          <w:tab w:val="left" w:pos="403"/>
        </w:tabs>
        <w:ind w:firstLine="0"/>
        <w:rPr>
          <w:rFonts w:ascii="Aptos" w:hAnsi="Aptos" w:cstheme="minorHAnsi"/>
          <w:i/>
          <w:sz w:val="16"/>
          <w:szCs w:val="16"/>
        </w:rPr>
      </w:pPr>
      <w:r>
        <w:rPr>
          <w:rFonts w:ascii="Aptos" w:hAnsi="Aptos"/>
          <w:i/>
          <w:color w:val="222222"/>
          <w:sz w:val="16"/>
        </w:rPr>
        <w:t>Applying for a public procurement contract or admission to a competition means, respectively, submitting an application for admission to a public procurement procedure or competition, submitting a bid, entering into negotiations or submitting a competition entry.</w:t>
      </w:r>
    </w:p>
    <w:p w14:paraId="19D465F4" w14:textId="77777777" w:rsidR="00DC18DB" w:rsidRPr="00F27980" w:rsidRDefault="00B20003">
      <w:pPr>
        <w:pStyle w:val="Akapitzlist"/>
        <w:numPr>
          <w:ilvl w:val="0"/>
          <w:numId w:val="1"/>
        </w:numPr>
        <w:tabs>
          <w:tab w:val="left" w:pos="403"/>
        </w:tabs>
        <w:ind w:right="115" w:firstLine="0"/>
        <w:rPr>
          <w:rFonts w:ascii="Aptos" w:hAnsi="Aptos" w:cstheme="minorHAnsi"/>
          <w:i/>
          <w:sz w:val="16"/>
          <w:szCs w:val="16"/>
        </w:rPr>
      </w:pPr>
      <w:r>
        <w:rPr>
          <w:rFonts w:ascii="Aptos" w:hAnsi="Aptos"/>
          <w:i/>
          <w:color w:val="222222"/>
          <w:sz w:val="16"/>
        </w:rPr>
        <w:t>A person or entity subject to exclusion under paragraph 1 who, during the period of such exclusion, applies for a public contract or admission to a competition, or participates in a public procurement procedure or competition, shall be subject to a financial penalty.</w:t>
      </w:r>
    </w:p>
    <w:p w14:paraId="0457FBCA" w14:textId="77777777" w:rsidR="00DC18DB" w:rsidRPr="00F27980" w:rsidRDefault="00B20003">
      <w:pPr>
        <w:pStyle w:val="Akapitzlist"/>
        <w:numPr>
          <w:ilvl w:val="0"/>
          <w:numId w:val="1"/>
        </w:numPr>
        <w:tabs>
          <w:tab w:val="left" w:pos="403"/>
        </w:tabs>
        <w:spacing w:line="195" w:lineRule="exact"/>
        <w:ind w:left="403" w:right="0" w:hanging="287"/>
        <w:rPr>
          <w:rFonts w:ascii="Aptos" w:hAnsi="Aptos" w:cstheme="minorHAnsi"/>
          <w:i/>
          <w:sz w:val="16"/>
          <w:szCs w:val="16"/>
        </w:rPr>
      </w:pPr>
      <w:r>
        <w:rPr>
          <w:rFonts w:ascii="Aptos" w:hAnsi="Aptos"/>
          <w:i/>
          <w:color w:val="222222"/>
          <w:sz w:val="16"/>
        </w:rPr>
        <w:t>The financial penalty referred to in paragraph 6 shall be imposed by the President of the Public Procurement Office, by way of a decision, in an amount of up to PLN 20,000,000.</w:t>
      </w:r>
    </w:p>
    <w:p w14:paraId="3E632610" w14:textId="77777777" w:rsidR="00DC18DB" w:rsidRPr="00F27980" w:rsidRDefault="00B20003">
      <w:pPr>
        <w:pStyle w:val="Akapitzlist"/>
        <w:numPr>
          <w:ilvl w:val="0"/>
          <w:numId w:val="1"/>
        </w:numPr>
        <w:tabs>
          <w:tab w:val="left" w:pos="403"/>
        </w:tabs>
        <w:ind w:left="403" w:right="0" w:hanging="287"/>
        <w:rPr>
          <w:rFonts w:ascii="Aptos" w:hAnsi="Aptos" w:cstheme="minorHAnsi"/>
          <w:i/>
          <w:sz w:val="16"/>
          <w:szCs w:val="16"/>
        </w:rPr>
      </w:pPr>
      <w:r>
        <w:rPr>
          <w:rFonts w:ascii="Aptos" w:hAnsi="Aptos"/>
          <w:i/>
          <w:color w:val="222222"/>
          <w:sz w:val="16"/>
        </w:rPr>
        <w:t>Revenues from financial penalties referred to in paragraph 6 shall constitute state budget revenue.</w:t>
      </w:r>
    </w:p>
    <w:p w14:paraId="7CB7F7B2" w14:textId="77777777" w:rsidR="00DC18DB" w:rsidRPr="00F27980" w:rsidRDefault="00B20003">
      <w:pPr>
        <w:pStyle w:val="Akapitzlist"/>
        <w:numPr>
          <w:ilvl w:val="0"/>
          <w:numId w:val="1"/>
        </w:numPr>
        <w:tabs>
          <w:tab w:val="left" w:pos="403"/>
        </w:tabs>
        <w:spacing w:before="4" w:line="235" w:lineRule="auto"/>
        <w:ind w:right="118" w:firstLine="0"/>
        <w:rPr>
          <w:rFonts w:ascii="Aptos" w:hAnsi="Aptos" w:cstheme="minorHAnsi"/>
          <w:i/>
          <w:sz w:val="16"/>
          <w:szCs w:val="16"/>
        </w:rPr>
      </w:pPr>
      <w:r>
        <w:rPr>
          <w:rFonts w:ascii="Aptos" w:hAnsi="Aptos"/>
          <w:i/>
          <w:color w:val="222222"/>
          <w:sz w:val="16"/>
        </w:rPr>
        <w:t>The provisions of paragraphs 1-8 shall apply to the procedure for awarding a public procurement contract and competitions with a value lower than the amounts specified in Article 2(1) of the Act of the 11</w:t>
      </w:r>
      <w:r>
        <w:rPr>
          <w:rFonts w:ascii="Aptos" w:hAnsi="Aptos"/>
          <w:i/>
          <w:color w:val="222222"/>
          <w:sz w:val="16"/>
          <w:vertAlign w:val="superscript"/>
        </w:rPr>
        <w:t>th</w:t>
      </w:r>
      <w:r>
        <w:rPr>
          <w:rFonts w:ascii="Aptos" w:hAnsi="Aptos"/>
          <w:i/>
          <w:color w:val="222222"/>
          <w:sz w:val="16"/>
        </w:rPr>
        <w:t xml:space="preserve"> of September 2019 - Public Procurement Law or with the exclusion of the application of that Act.</w:t>
      </w:r>
    </w:p>
    <w:sectPr w:rsidR="00DC18DB" w:rsidRPr="00F27980">
      <w:pgSz w:w="12240" w:h="15840"/>
      <w:pgMar w:top="700" w:right="13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64263" w14:textId="77777777" w:rsidR="0072392A" w:rsidRDefault="0072392A" w:rsidP="00AC2991">
      <w:r>
        <w:separator/>
      </w:r>
    </w:p>
  </w:endnote>
  <w:endnote w:type="continuationSeparator" w:id="0">
    <w:p w14:paraId="608CFD99" w14:textId="77777777" w:rsidR="0072392A" w:rsidRDefault="0072392A" w:rsidP="00AC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995DD" w14:textId="77777777" w:rsidR="0072392A" w:rsidRDefault="0072392A" w:rsidP="00AC2991">
      <w:r>
        <w:separator/>
      </w:r>
    </w:p>
  </w:footnote>
  <w:footnote w:type="continuationSeparator" w:id="0">
    <w:p w14:paraId="24BEF9BE" w14:textId="77777777" w:rsidR="0072392A" w:rsidRDefault="0072392A" w:rsidP="00AC2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0E66B" w14:textId="137093BD" w:rsidR="00AC2991" w:rsidRDefault="00AC2991">
    <w:pPr>
      <w:pStyle w:val="Nagwek"/>
    </w:pPr>
    <w:r>
      <w:rPr>
        <w:noProof/>
        <w:lang w:val="pl-PL" w:eastAsia="pl-PL"/>
      </w:rPr>
      <w:drawing>
        <wp:inline distT="0" distB="0" distL="0" distR="0" wp14:anchorId="60E072FB" wp14:editId="1DA7DF4D">
          <wp:extent cx="5952227" cy="762653"/>
          <wp:effectExtent l="0" t="0" r="0" b="0"/>
          <wp:docPr id="611688911" name="Obraz 1"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620" name="Obraz 1" descr="Obraz zawierający tekst, Czcionka,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6064237" cy="7770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2E4B"/>
    <w:multiLevelType w:val="hybridMultilevel"/>
    <w:tmpl w:val="56EAC6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3545146"/>
    <w:multiLevelType w:val="hybridMultilevel"/>
    <w:tmpl w:val="5DBEB232"/>
    <w:lvl w:ilvl="0" w:tplc="DAEC1B06">
      <w:start w:val="1"/>
      <w:numFmt w:val="decimal"/>
      <w:lvlText w:val="%1."/>
      <w:lvlJc w:val="left"/>
      <w:pPr>
        <w:ind w:left="116" w:hanging="171"/>
      </w:pPr>
      <w:rPr>
        <w:rFonts w:ascii="Calibri" w:eastAsia="Calibri" w:hAnsi="Calibri" w:cs="Calibri" w:hint="default"/>
        <w:b w:val="0"/>
        <w:bCs w:val="0"/>
        <w:i/>
        <w:iCs/>
        <w:color w:val="222222"/>
        <w:spacing w:val="0"/>
        <w:w w:val="99"/>
        <w:sz w:val="16"/>
        <w:szCs w:val="16"/>
        <w:lang w:val="pl-PL" w:eastAsia="en-US" w:bidi="ar-SA"/>
      </w:rPr>
    </w:lvl>
    <w:lvl w:ilvl="1" w:tplc="0EF8BDB2">
      <w:start w:val="1"/>
      <w:numFmt w:val="decimal"/>
      <w:lvlText w:val="%2)"/>
      <w:lvlJc w:val="left"/>
      <w:pPr>
        <w:ind w:left="116" w:hanging="185"/>
      </w:pPr>
      <w:rPr>
        <w:rFonts w:ascii="Calibri" w:eastAsia="Calibri" w:hAnsi="Calibri" w:cs="Calibri" w:hint="default"/>
        <w:b w:val="0"/>
        <w:bCs w:val="0"/>
        <w:i/>
        <w:iCs/>
        <w:color w:val="222222"/>
        <w:spacing w:val="0"/>
        <w:w w:val="83"/>
        <w:sz w:val="16"/>
        <w:szCs w:val="16"/>
        <w:lang w:val="pl-PL" w:eastAsia="en-US" w:bidi="ar-SA"/>
      </w:rPr>
    </w:lvl>
    <w:lvl w:ilvl="2" w:tplc="E494A5A0">
      <w:numFmt w:val="bullet"/>
      <w:lvlText w:val="•"/>
      <w:lvlJc w:val="left"/>
      <w:pPr>
        <w:ind w:left="2024" w:hanging="185"/>
      </w:pPr>
      <w:rPr>
        <w:rFonts w:hint="default"/>
        <w:lang w:val="pl-PL" w:eastAsia="en-US" w:bidi="ar-SA"/>
      </w:rPr>
    </w:lvl>
    <w:lvl w:ilvl="3" w:tplc="83583854">
      <w:numFmt w:val="bullet"/>
      <w:lvlText w:val="•"/>
      <w:lvlJc w:val="left"/>
      <w:pPr>
        <w:ind w:left="2976" w:hanging="185"/>
      </w:pPr>
      <w:rPr>
        <w:rFonts w:hint="default"/>
        <w:lang w:val="pl-PL" w:eastAsia="en-US" w:bidi="ar-SA"/>
      </w:rPr>
    </w:lvl>
    <w:lvl w:ilvl="4" w:tplc="4B5440BE">
      <w:numFmt w:val="bullet"/>
      <w:lvlText w:val="•"/>
      <w:lvlJc w:val="left"/>
      <w:pPr>
        <w:ind w:left="3928" w:hanging="185"/>
      </w:pPr>
      <w:rPr>
        <w:rFonts w:hint="default"/>
        <w:lang w:val="pl-PL" w:eastAsia="en-US" w:bidi="ar-SA"/>
      </w:rPr>
    </w:lvl>
    <w:lvl w:ilvl="5" w:tplc="312CD362">
      <w:numFmt w:val="bullet"/>
      <w:lvlText w:val="•"/>
      <w:lvlJc w:val="left"/>
      <w:pPr>
        <w:ind w:left="4880" w:hanging="185"/>
      </w:pPr>
      <w:rPr>
        <w:rFonts w:hint="default"/>
        <w:lang w:val="pl-PL" w:eastAsia="en-US" w:bidi="ar-SA"/>
      </w:rPr>
    </w:lvl>
    <w:lvl w:ilvl="6" w:tplc="EF0C226E">
      <w:numFmt w:val="bullet"/>
      <w:lvlText w:val="•"/>
      <w:lvlJc w:val="left"/>
      <w:pPr>
        <w:ind w:left="5832" w:hanging="185"/>
      </w:pPr>
      <w:rPr>
        <w:rFonts w:hint="default"/>
        <w:lang w:val="pl-PL" w:eastAsia="en-US" w:bidi="ar-SA"/>
      </w:rPr>
    </w:lvl>
    <w:lvl w:ilvl="7" w:tplc="2342F460">
      <w:numFmt w:val="bullet"/>
      <w:lvlText w:val="•"/>
      <w:lvlJc w:val="left"/>
      <w:pPr>
        <w:ind w:left="6784" w:hanging="185"/>
      </w:pPr>
      <w:rPr>
        <w:rFonts w:hint="default"/>
        <w:lang w:val="pl-PL" w:eastAsia="en-US" w:bidi="ar-SA"/>
      </w:rPr>
    </w:lvl>
    <w:lvl w:ilvl="8" w:tplc="A3AC7728">
      <w:numFmt w:val="bullet"/>
      <w:lvlText w:val="•"/>
      <w:lvlJc w:val="left"/>
      <w:pPr>
        <w:ind w:left="7736" w:hanging="185"/>
      </w:pPr>
      <w:rPr>
        <w:rFonts w:hint="default"/>
        <w:lang w:val="pl-PL" w:eastAsia="en-US" w:bidi="ar-SA"/>
      </w:rPr>
    </w:lvl>
  </w:abstractNum>
  <w:abstractNum w:abstractNumId="2">
    <w:nsid w:val="2479669A"/>
    <w:multiLevelType w:val="hybridMultilevel"/>
    <w:tmpl w:val="EC32E2B0"/>
    <w:lvl w:ilvl="0" w:tplc="3B385A5C">
      <w:start w:val="1"/>
      <w:numFmt w:val="decimal"/>
      <w:lvlText w:val="%1."/>
      <w:lvlJc w:val="left"/>
      <w:pPr>
        <w:ind w:left="476" w:hanging="360"/>
      </w:pPr>
      <w:rPr>
        <w:rFonts w:hint="default"/>
        <w:spacing w:val="-1"/>
        <w:w w:val="100"/>
        <w:lang w:val="pl-PL" w:eastAsia="en-US" w:bidi="ar-SA"/>
      </w:rPr>
    </w:lvl>
    <w:lvl w:ilvl="1" w:tplc="0C883B02">
      <w:start w:val="1"/>
      <w:numFmt w:val="lowerLetter"/>
      <w:lvlText w:val="%2)"/>
      <w:lvlJc w:val="left"/>
      <w:pPr>
        <w:ind w:left="360" w:hanging="245"/>
      </w:pPr>
      <w:rPr>
        <w:rFonts w:ascii="Calibri" w:eastAsia="Calibri" w:hAnsi="Calibri" w:cs="Calibri" w:hint="default"/>
        <w:b w:val="0"/>
        <w:bCs w:val="0"/>
        <w:i w:val="0"/>
        <w:iCs w:val="0"/>
        <w:spacing w:val="0"/>
        <w:w w:val="99"/>
        <w:sz w:val="16"/>
        <w:szCs w:val="16"/>
        <w:lang w:val="pl-PL" w:eastAsia="en-US" w:bidi="ar-SA"/>
      </w:rPr>
    </w:lvl>
    <w:lvl w:ilvl="2" w:tplc="3F4E07A4">
      <w:numFmt w:val="bullet"/>
      <w:lvlText w:val="•"/>
      <w:lvlJc w:val="left"/>
      <w:pPr>
        <w:ind w:left="480" w:hanging="245"/>
      </w:pPr>
      <w:rPr>
        <w:rFonts w:hint="default"/>
        <w:lang w:val="pl-PL" w:eastAsia="en-US" w:bidi="ar-SA"/>
      </w:rPr>
    </w:lvl>
    <w:lvl w:ilvl="3" w:tplc="72D49012">
      <w:numFmt w:val="bullet"/>
      <w:lvlText w:val="•"/>
      <w:lvlJc w:val="left"/>
      <w:pPr>
        <w:ind w:left="1625" w:hanging="245"/>
      </w:pPr>
      <w:rPr>
        <w:rFonts w:hint="default"/>
        <w:lang w:val="pl-PL" w:eastAsia="en-US" w:bidi="ar-SA"/>
      </w:rPr>
    </w:lvl>
    <w:lvl w:ilvl="4" w:tplc="6AF0E5AE">
      <w:numFmt w:val="bullet"/>
      <w:lvlText w:val="•"/>
      <w:lvlJc w:val="left"/>
      <w:pPr>
        <w:ind w:left="2770" w:hanging="245"/>
      </w:pPr>
      <w:rPr>
        <w:rFonts w:hint="default"/>
        <w:lang w:val="pl-PL" w:eastAsia="en-US" w:bidi="ar-SA"/>
      </w:rPr>
    </w:lvl>
    <w:lvl w:ilvl="5" w:tplc="04E40430">
      <w:numFmt w:val="bullet"/>
      <w:lvlText w:val="•"/>
      <w:lvlJc w:val="left"/>
      <w:pPr>
        <w:ind w:left="3915" w:hanging="245"/>
      </w:pPr>
      <w:rPr>
        <w:rFonts w:hint="default"/>
        <w:lang w:val="pl-PL" w:eastAsia="en-US" w:bidi="ar-SA"/>
      </w:rPr>
    </w:lvl>
    <w:lvl w:ilvl="6" w:tplc="25FC88C2">
      <w:numFmt w:val="bullet"/>
      <w:lvlText w:val="•"/>
      <w:lvlJc w:val="left"/>
      <w:pPr>
        <w:ind w:left="5060" w:hanging="245"/>
      </w:pPr>
      <w:rPr>
        <w:rFonts w:hint="default"/>
        <w:lang w:val="pl-PL" w:eastAsia="en-US" w:bidi="ar-SA"/>
      </w:rPr>
    </w:lvl>
    <w:lvl w:ilvl="7" w:tplc="E1BEEFC6">
      <w:numFmt w:val="bullet"/>
      <w:lvlText w:val="•"/>
      <w:lvlJc w:val="left"/>
      <w:pPr>
        <w:ind w:left="6205" w:hanging="245"/>
      </w:pPr>
      <w:rPr>
        <w:rFonts w:hint="default"/>
        <w:lang w:val="pl-PL" w:eastAsia="en-US" w:bidi="ar-SA"/>
      </w:rPr>
    </w:lvl>
    <w:lvl w:ilvl="8" w:tplc="4934AEDE">
      <w:numFmt w:val="bullet"/>
      <w:lvlText w:val="•"/>
      <w:lvlJc w:val="left"/>
      <w:pPr>
        <w:ind w:left="7350" w:hanging="245"/>
      </w:pPr>
      <w:rPr>
        <w:rFonts w:hint="default"/>
        <w:lang w:val="pl-PL" w:eastAsia="en-US" w:bidi="ar-SA"/>
      </w:rPr>
    </w:lvl>
  </w:abstractNum>
  <w:abstractNum w:abstractNumId="3">
    <w:nsid w:val="39C2035E"/>
    <w:multiLevelType w:val="hybridMultilevel"/>
    <w:tmpl w:val="BABC3EA4"/>
    <w:lvl w:ilvl="0" w:tplc="A7D4F28C">
      <w:start w:val="2"/>
      <w:numFmt w:val="decimal"/>
      <w:lvlText w:val="%1."/>
      <w:lvlJc w:val="left"/>
      <w:pPr>
        <w:ind w:left="476" w:hanging="360"/>
      </w:pPr>
      <w:rPr>
        <w:rFonts w:ascii="Calibri" w:eastAsia="Calibri" w:hAnsi="Calibri" w:cs="Calibri" w:hint="default"/>
        <w:b w:val="0"/>
        <w:bCs w:val="0"/>
        <w:i w:val="0"/>
        <w:iCs w:val="0"/>
        <w:spacing w:val="-1"/>
        <w:w w:val="100"/>
        <w:sz w:val="20"/>
        <w:szCs w:val="20"/>
        <w:lang w:val="pl-PL" w:eastAsia="en-US" w:bidi="ar-SA"/>
      </w:rPr>
    </w:lvl>
    <w:lvl w:ilvl="1" w:tplc="96BAC6CC">
      <w:numFmt w:val="bullet"/>
      <w:lvlText w:val="•"/>
      <w:lvlJc w:val="left"/>
      <w:pPr>
        <w:ind w:left="1396" w:hanging="360"/>
      </w:pPr>
      <w:rPr>
        <w:rFonts w:hint="default"/>
        <w:lang w:val="pl-PL" w:eastAsia="en-US" w:bidi="ar-SA"/>
      </w:rPr>
    </w:lvl>
    <w:lvl w:ilvl="2" w:tplc="0C20988C">
      <w:numFmt w:val="bullet"/>
      <w:lvlText w:val="•"/>
      <w:lvlJc w:val="left"/>
      <w:pPr>
        <w:ind w:left="2312" w:hanging="360"/>
      </w:pPr>
      <w:rPr>
        <w:rFonts w:hint="default"/>
        <w:lang w:val="pl-PL" w:eastAsia="en-US" w:bidi="ar-SA"/>
      </w:rPr>
    </w:lvl>
    <w:lvl w:ilvl="3" w:tplc="C0BA3EC0">
      <w:numFmt w:val="bullet"/>
      <w:lvlText w:val="•"/>
      <w:lvlJc w:val="left"/>
      <w:pPr>
        <w:ind w:left="3228" w:hanging="360"/>
      </w:pPr>
      <w:rPr>
        <w:rFonts w:hint="default"/>
        <w:lang w:val="pl-PL" w:eastAsia="en-US" w:bidi="ar-SA"/>
      </w:rPr>
    </w:lvl>
    <w:lvl w:ilvl="4" w:tplc="BEA8BE20">
      <w:numFmt w:val="bullet"/>
      <w:lvlText w:val="•"/>
      <w:lvlJc w:val="left"/>
      <w:pPr>
        <w:ind w:left="4144" w:hanging="360"/>
      </w:pPr>
      <w:rPr>
        <w:rFonts w:hint="default"/>
        <w:lang w:val="pl-PL" w:eastAsia="en-US" w:bidi="ar-SA"/>
      </w:rPr>
    </w:lvl>
    <w:lvl w:ilvl="5" w:tplc="7374C5C2">
      <w:numFmt w:val="bullet"/>
      <w:lvlText w:val="•"/>
      <w:lvlJc w:val="left"/>
      <w:pPr>
        <w:ind w:left="5060" w:hanging="360"/>
      </w:pPr>
      <w:rPr>
        <w:rFonts w:hint="default"/>
        <w:lang w:val="pl-PL" w:eastAsia="en-US" w:bidi="ar-SA"/>
      </w:rPr>
    </w:lvl>
    <w:lvl w:ilvl="6" w:tplc="4774939E">
      <w:numFmt w:val="bullet"/>
      <w:lvlText w:val="•"/>
      <w:lvlJc w:val="left"/>
      <w:pPr>
        <w:ind w:left="5976" w:hanging="360"/>
      </w:pPr>
      <w:rPr>
        <w:rFonts w:hint="default"/>
        <w:lang w:val="pl-PL" w:eastAsia="en-US" w:bidi="ar-SA"/>
      </w:rPr>
    </w:lvl>
    <w:lvl w:ilvl="7" w:tplc="842611D6">
      <w:numFmt w:val="bullet"/>
      <w:lvlText w:val="•"/>
      <w:lvlJc w:val="left"/>
      <w:pPr>
        <w:ind w:left="6892" w:hanging="360"/>
      </w:pPr>
      <w:rPr>
        <w:rFonts w:hint="default"/>
        <w:lang w:val="pl-PL" w:eastAsia="en-US" w:bidi="ar-SA"/>
      </w:rPr>
    </w:lvl>
    <w:lvl w:ilvl="8" w:tplc="A71A34C0">
      <w:numFmt w:val="bullet"/>
      <w:lvlText w:val="•"/>
      <w:lvlJc w:val="left"/>
      <w:pPr>
        <w:ind w:left="7808" w:hanging="360"/>
      </w:pPr>
      <w:rPr>
        <w:rFonts w:hint="default"/>
        <w:lang w:val="pl-PL"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8DB"/>
    <w:rsid w:val="00025A99"/>
    <w:rsid w:val="0005613F"/>
    <w:rsid w:val="000A7996"/>
    <w:rsid w:val="000D0D99"/>
    <w:rsid w:val="00142D1E"/>
    <w:rsid w:val="00206D0F"/>
    <w:rsid w:val="00234EEF"/>
    <w:rsid w:val="00282C18"/>
    <w:rsid w:val="0029412E"/>
    <w:rsid w:val="002D7281"/>
    <w:rsid w:val="00313055"/>
    <w:rsid w:val="003265F1"/>
    <w:rsid w:val="00344300"/>
    <w:rsid w:val="00366EE2"/>
    <w:rsid w:val="003A4BCB"/>
    <w:rsid w:val="00434352"/>
    <w:rsid w:val="00492D5C"/>
    <w:rsid w:val="004B758E"/>
    <w:rsid w:val="00517BFE"/>
    <w:rsid w:val="005201EA"/>
    <w:rsid w:val="00532670"/>
    <w:rsid w:val="00580390"/>
    <w:rsid w:val="00677AA2"/>
    <w:rsid w:val="0072392A"/>
    <w:rsid w:val="007A4CEA"/>
    <w:rsid w:val="00854BF5"/>
    <w:rsid w:val="00860274"/>
    <w:rsid w:val="008A4F53"/>
    <w:rsid w:val="00926A4B"/>
    <w:rsid w:val="009C441A"/>
    <w:rsid w:val="00AC2991"/>
    <w:rsid w:val="00B20003"/>
    <w:rsid w:val="00B46114"/>
    <w:rsid w:val="00C2782A"/>
    <w:rsid w:val="00CB06D2"/>
    <w:rsid w:val="00CF3607"/>
    <w:rsid w:val="00DC18DB"/>
    <w:rsid w:val="00E369F0"/>
    <w:rsid w:val="00E41B5E"/>
    <w:rsid w:val="00E644BB"/>
    <w:rsid w:val="00F27980"/>
    <w:rsid w:val="00F408E8"/>
    <w:rsid w:val="00F4425A"/>
    <w:rsid w:val="00F53318"/>
    <w:rsid w:val="00F66354"/>
    <w:rsid w:val="00FD5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3C02"/>
  <w15:docId w15:val="{3D67DC18-8997-4754-9BC0-1233D692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rPr>
  </w:style>
  <w:style w:type="paragraph" w:styleId="Nagwek1">
    <w:name w:val="heading 1"/>
    <w:basedOn w:val="Normalny"/>
    <w:uiPriority w:val="9"/>
    <w:qFormat/>
    <w:pPr>
      <w:ind w:left="116"/>
      <w:outlineLvl w:val="0"/>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i/>
      <w:iCs/>
      <w:sz w:val="16"/>
      <w:szCs w:val="16"/>
    </w:rPr>
  </w:style>
  <w:style w:type="paragraph" w:styleId="Akapitzlist">
    <w:name w:val="List Paragraph"/>
    <w:basedOn w:val="Normalny"/>
    <w:uiPriority w:val="1"/>
    <w:qFormat/>
    <w:pPr>
      <w:ind w:left="116" w:right="116"/>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C2991"/>
    <w:pPr>
      <w:tabs>
        <w:tab w:val="center" w:pos="4513"/>
        <w:tab w:val="right" w:pos="9026"/>
      </w:tabs>
    </w:pPr>
  </w:style>
  <w:style w:type="character" w:customStyle="1" w:styleId="NagwekZnak">
    <w:name w:val="Nagłówek Znak"/>
    <w:basedOn w:val="Domylnaczcionkaakapitu"/>
    <w:link w:val="Nagwek"/>
    <w:uiPriority w:val="99"/>
    <w:rsid w:val="00AC2991"/>
    <w:rPr>
      <w:rFonts w:ascii="Calibri" w:eastAsia="Calibri" w:hAnsi="Calibri" w:cs="Calibri"/>
      <w:lang w:val="en-GB"/>
    </w:rPr>
  </w:style>
  <w:style w:type="paragraph" w:styleId="Stopka">
    <w:name w:val="footer"/>
    <w:basedOn w:val="Normalny"/>
    <w:link w:val="StopkaZnak"/>
    <w:uiPriority w:val="99"/>
    <w:unhideWhenUsed/>
    <w:rsid w:val="00AC2991"/>
    <w:pPr>
      <w:tabs>
        <w:tab w:val="center" w:pos="4513"/>
        <w:tab w:val="right" w:pos="9026"/>
      </w:tabs>
    </w:pPr>
  </w:style>
  <w:style w:type="character" w:customStyle="1" w:styleId="StopkaZnak">
    <w:name w:val="Stopka Znak"/>
    <w:basedOn w:val="Domylnaczcionkaakapitu"/>
    <w:link w:val="Stopka"/>
    <w:uiPriority w:val="99"/>
    <w:rsid w:val="00AC299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20BD5D2EC7811419BD34D222F13BC0E" ma:contentTypeVersion="18" ma:contentTypeDescription="Utwórz nowy dokument." ma:contentTypeScope="" ma:versionID="0e95d7bea251e20683d537a0242a813c">
  <xsd:schema xmlns:xsd="http://www.w3.org/2001/XMLSchema" xmlns:xs="http://www.w3.org/2001/XMLSchema" xmlns:p="http://schemas.microsoft.com/office/2006/metadata/properties" xmlns:ns2="74493da7-9285-4d7f-a64b-5b5c09dd0e5b" xmlns:ns3="a3ec78a1-51ed-4352-b694-bf428dfd1163" targetNamespace="http://schemas.microsoft.com/office/2006/metadata/properties" ma:root="true" ma:fieldsID="d1d42418f78fb6c772f2065eac5e728d" ns2:_="" ns3:_="">
    <xsd:import namespace="74493da7-9285-4d7f-a64b-5b5c09dd0e5b"/>
    <xsd:import namespace="a3ec78a1-51ed-4352-b694-bf428dfd1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3da7-9285-4d7f-a64b-5b5c09dd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5bb0c22-7168-4d86-8dc4-1a5f0d128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78a1-51ed-4352-b694-bf428dfd116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1c2e705-9d6a-425e-9d60-f10bc4d78b0e}" ma:internalName="TaxCatchAll" ma:showField="CatchAllData" ma:web="a3ec78a1-51ed-4352-b694-bf428dfd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493da7-9285-4d7f-a64b-5b5c09dd0e5b">
      <Terms xmlns="http://schemas.microsoft.com/office/infopath/2007/PartnerControls"/>
    </lcf76f155ced4ddcb4097134ff3c332f>
    <TaxCatchAll xmlns="a3ec78a1-51ed-4352-b694-bf428dfd1163" xsi:nil="true"/>
  </documentManagement>
</p:properties>
</file>

<file path=customXml/itemProps1.xml><?xml version="1.0" encoding="utf-8"?>
<ds:datastoreItem xmlns:ds="http://schemas.openxmlformats.org/officeDocument/2006/customXml" ds:itemID="{BA9C901A-AC69-49C6-A27F-0FBCA3E00B90}">
  <ds:schemaRefs>
    <ds:schemaRef ds:uri="http://schemas.microsoft.com/sharepoint/v3/contenttype/forms"/>
  </ds:schemaRefs>
</ds:datastoreItem>
</file>

<file path=customXml/itemProps2.xml><?xml version="1.0" encoding="utf-8"?>
<ds:datastoreItem xmlns:ds="http://schemas.openxmlformats.org/officeDocument/2006/customXml" ds:itemID="{DCDF9193-11F1-4740-A151-2A80851EA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93da7-9285-4d7f-a64b-5b5c09dd0e5b"/>
    <ds:schemaRef ds:uri="a3ec78a1-51ed-4352-b694-bf428dfd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1C817-E77C-4E6E-807E-BD9BC7DD68AB}">
  <ds:schemaRefs>
    <ds:schemaRef ds:uri="http://schemas.microsoft.com/office/2006/metadata/properties"/>
    <ds:schemaRef ds:uri="http://schemas.microsoft.com/office/infopath/2007/PartnerControls"/>
    <ds:schemaRef ds:uri="74493da7-9285-4d7f-a64b-5b5c09dd0e5b"/>
    <ds:schemaRef ds:uri="a3ec78a1-51ed-4352-b694-bf428dfd116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1476</Words>
  <Characters>8032</Characters>
  <Application>Microsoft Office Word</Application>
  <DocSecurity>0</DocSecurity>
  <Lines>111</Lines>
  <Paragraphs>45</Paragraphs>
  <ScaleCrop>false</ScaleCrop>
  <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Ania M</cp:lastModifiedBy>
  <cp:revision>30</cp:revision>
  <dcterms:created xsi:type="dcterms:W3CDTF">2025-01-24T10:10:00Z</dcterms:created>
  <dcterms:modified xsi:type="dcterms:W3CDTF">2025-10-23T09:09:00Z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LastSaved">
    <vt:filetime>2025-01-24T00:00:00Z</vt:filetime>
  </property>
  <property fmtid="{D5CDD505-2E9C-101B-9397-08002B2CF9AE}" pid="4" name="Producer">
    <vt:lpwstr>macOS Wersja 14.6.1 (kompilacja 23G93) Quartz PDFContext</vt:lpwstr>
  </property>
  <property fmtid="{D5CDD505-2E9C-101B-9397-08002B2CF9AE}" pid="5" name="ContentTypeId">
    <vt:lpwstr>0x010100920BD5D2EC7811419BD34D222F13BC0E</vt:lpwstr>
  </property>
  <property fmtid="{D5CDD505-2E9C-101B-9397-08002B2CF9AE}" pid="6" name="MediaServiceImageTags">
    <vt:lpwstr/>
  </property>
</Properties>
</file>